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3207521</wp:posOffset>
            </wp:positionH>
            <wp:positionV relativeFrom="paragraph">
              <wp:posOffset>-656589</wp:posOffset>
            </wp:positionV>
            <wp:extent cx="2736079" cy="480060"/>
            <wp:effectExtent b="0" l="0" r="0" t="0"/>
            <wp:wrapNone/>
            <wp:docPr descr="Home" id="2" name="image1.png"/>
            <a:graphic>
              <a:graphicData uri="http://schemas.openxmlformats.org/drawingml/2006/picture">
                <pic:pic>
                  <pic:nvPicPr>
                    <pic:cNvPr descr="Home" id="0" name="image1.png"/>
                    <pic:cNvPicPr preferRelativeResize="0"/>
                  </pic:nvPicPr>
                  <pic:blipFill>
                    <a:blip r:embed="rId7"/>
                    <a:srcRect b="0" l="0" r="0" t="0"/>
                    <a:stretch>
                      <a:fillRect/>
                    </a:stretch>
                  </pic:blipFill>
                  <pic:spPr>
                    <a:xfrm>
                      <a:off x="0" y="0"/>
                      <a:ext cx="2736079" cy="480060"/>
                    </a:xfrm>
                    <a:prstGeom prst="rect"/>
                    <a:ln/>
                  </pic:spPr>
                </pic:pic>
              </a:graphicData>
            </a:graphic>
          </wp:anchor>
        </w:drawing>
      </w:r>
    </w:p>
    <w:p w:rsidR="00000000" w:rsidDel="00000000" w:rsidP="00000000" w:rsidRDefault="00000000" w:rsidRPr="00000000" w14:paraId="00000002">
      <w:pPr>
        <w:shd w:fill="c00000" w:val="clear"/>
        <w:spacing w:after="0" w:lineRule="auto"/>
        <w:rPr>
          <w:b w:val="1"/>
          <w:sz w:val="36"/>
          <w:szCs w:val="36"/>
        </w:rPr>
      </w:pPr>
      <w:r w:rsidDel="00000000" w:rsidR="00000000" w:rsidRPr="00000000">
        <w:rPr>
          <w:b w:val="1"/>
          <w:sz w:val="36"/>
          <w:szCs w:val="36"/>
          <w:rtl w:val="0"/>
        </w:rPr>
        <w:t xml:space="preserve">School Advisory Council</w:t>
      </w:r>
    </w:p>
    <w:p w:rsidR="00000000" w:rsidDel="00000000" w:rsidP="00000000" w:rsidRDefault="00000000" w:rsidRPr="00000000" w14:paraId="00000003">
      <w:pPr>
        <w:shd w:fill="c00000" w:val="clear"/>
        <w:spacing w:after="0" w:lineRule="auto"/>
        <w:rPr>
          <w:b w:val="1"/>
          <w:sz w:val="36"/>
          <w:szCs w:val="36"/>
        </w:rPr>
      </w:pPr>
      <w:r w:rsidDel="00000000" w:rsidR="00000000" w:rsidRPr="00000000">
        <w:rPr>
          <w:b w:val="1"/>
          <w:sz w:val="36"/>
          <w:szCs w:val="36"/>
          <w:rtl w:val="0"/>
        </w:rPr>
        <w:t xml:space="preserve">Annual Report – June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7937"/>
        <w:tblGridChange w:id="0">
          <w:tblGrid>
            <w:gridCol w:w="1413"/>
            <w:gridCol w:w="7937"/>
          </w:tblGrid>
        </w:tblGridChange>
      </w:tblGrid>
      <w:tr>
        <w:trPr>
          <w:cantSplit w:val="0"/>
          <w:tblHeader w:val="0"/>
        </w:trPr>
        <w:tc>
          <w:tcPr>
            <w:shd w:fill="deebf6" w:val="clear"/>
          </w:tcPr>
          <w:p w:rsidR="00000000" w:rsidDel="00000000" w:rsidP="00000000" w:rsidRDefault="00000000" w:rsidRPr="00000000" w14:paraId="00000006">
            <w:pPr>
              <w:rPr>
                <w:sz w:val="24"/>
                <w:szCs w:val="24"/>
              </w:rPr>
            </w:pPr>
            <w:r w:rsidDel="00000000" w:rsidR="00000000" w:rsidRPr="00000000">
              <w:rPr>
                <w:sz w:val="24"/>
                <w:szCs w:val="24"/>
                <w:rtl w:val="0"/>
              </w:rPr>
              <w:t xml:space="preserve">School</w:t>
            </w:r>
          </w:p>
        </w:tc>
        <w:tc>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Nelson Whynder Elementary School</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Please list SAC members including names, membership type (i.e., parent, community member, staff), and role (i.e., Chair, Vice Chair).</w:t>
            </w:r>
          </w:p>
        </w:tc>
      </w:tr>
      <w:tr>
        <w:trPr>
          <w:cantSplit w:val="0"/>
          <w:tblHeader w:val="0"/>
        </w:trPr>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Chair: Renise Cain </w:t>
            </w:r>
          </w:p>
          <w:p w:rsidR="00000000" w:rsidDel="00000000" w:rsidP="00000000" w:rsidRDefault="00000000" w:rsidRPr="00000000" w14:paraId="0000000E">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Secretary:</w:t>
            </w:r>
            <w:r w:rsidDel="00000000" w:rsidR="00000000" w:rsidRPr="00000000">
              <w:rPr>
                <w:rFonts w:ascii="Arial" w:cs="Arial" w:eastAsia="Arial" w:hAnsi="Arial"/>
                <w:color w:val="222222"/>
                <w:sz w:val="24"/>
                <w:szCs w:val="24"/>
                <w:rtl w:val="0"/>
              </w:rPr>
              <w:t xml:space="preserve">Teaira Cain</w:t>
            </w:r>
            <w:r w:rsidDel="00000000" w:rsidR="00000000" w:rsidRPr="00000000">
              <w:rPr>
                <w:rtl w:val="0"/>
              </w:rPr>
            </w:r>
          </w:p>
          <w:p w:rsidR="00000000" w:rsidDel="00000000" w:rsidP="00000000" w:rsidRDefault="00000000" w:rsidRPr="00000000" w14:paraId="0000000F">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w:t>
            </w:r>
            <w:r w:rsidDel="00000000" w:rsidR="00000000" w:rsidRPr="00000000">
              <w:rPr>
                <w:rFonts w:ascii="Arial" w:cs="Arial" w:eastAsia="Arial" w:hAnsi="Arial"/>
                <w:color w:val="222222"/>
                <w:sz w:val="24"/>
                <w:szCs w:val="24"/>
                <w:rtl w:val="0"/>
              </w:rPr>
              <w:t xml:space="preserve">Chitara Provo</w:t>
            </w:r>
            <w:r w:rsidDel="00000000" w:rsidR="00000000" w:rsidRPr="00000000">
              <w:rPr>
                <w:rtl w:val="0"/>
              </w:rPr>
            </w:r>
          </w:p>
          <w:p w:rsidR="00000000" w:rsidDel="00000000" w:rsidP="00000000" w:rsidRDefault="00000000" w:rsidRPr="00000000" w14:paraId="00000010">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w:t>
            </w:r>
            <w:r w:rsidDel="00000000" w:rsidR="00000000" w:rsidRPr="00000000">
              <w:rPr>
                <w:rFonts w:ascii="Arial" w:cs="Arial" w:eastAsia="Arial" w:hAnsi="Arial"/>
                <w:color w:val="222222"/>
                <w:sz w:val="24"/>
                <w:szCs w:val="24"/>
                <w:rtl w:val="0"/>
              </w:rPr>
              <w:t xml:space="preserve">Shanea Sparks</w:t>
            </w:r>
            <w:r w:rsidDel="00000000" w:rsidR="00000000" w:rsidRPr="00000000">
              <w:rPr>
                <w:rtl w:val="0"/>
              </w:rPr>
            </w:r>
          </w:p>
          <w:p w:rsidR="00000000" w:rsidDel="00000000" w:rsidP="00000000" w:rsidRDefault="00000000" w:rsidRPr="00000000" w14:paraId="00000011">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Community Member: Jean Simmons</w:t>
            </w:r>
          </w:p>
          <w:p w:rsidR="00000000" w:rsidDel="00000000" w:rsidP="00000000" w:rsidRDefault="00000000" w:rsidRPr="00000000" w14:paraId="00000012">
            <w:pPr>
              <w:shd w:fill="ffffff" w:val="clear"/>
              <w:spacing w:line="331.2" w:lineRule="auto"/>
              <w:jc w:val="both"/>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Community Member:</w:t>
            </w:r>
            <w:r w:rsidDel="00000000" w:rsidR="00000000" w:rsidRPr="00000000">
              <w:rPr>
                <w:rFonts w:ascii="Arial" w:cs="Arial" w:eastAsia="Arial" w:hAnsi="Arial"/>
                <w:color w:val="222222"/>
                <w:sz w:val="24"/>
                <w:szCs w:val="24"/>
                <w:rtl w:val="0"/>
              </w:rPr>
              <w:t xml:space="preserve">Colter Simmonds, Raven Glasgow, Jean Simmons </w:t>
            </w:r>
          </w:p>
          <w:p w:rsidR="00000000" w:rsidDel="00000000" w:rsidP="00000000" w:rsidRDefault="00000000" w:rsidRPr="00000000" w14:paraId="00000013">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 </w:t>
            </w:r>
            <w:r w:rsidDel="00000000" w:rsidR="00000000" w:rsidRPr="00000000">
              <w:rPr>
                <w:rFonts w:ascii="Arial" w:cs="Arial" w:eastAsia="Arial" w:hAnsi="Arial"/>
                <w:sz w:val="24"/>
                <w:szCs w:val="24"/>
                <w:rtl w:val="0"/>
              </w:rPr>
              <w:t xml:space="preserve">Heather Ingalls-Parrott</w:t>
            </w:r>
          </w:p>
          <w:p w:rsidR="00000000" w:rsidDel="00000000" w:rsidP="00000000" w:rsidRDefault="00000000" w:rsidRPr="00000000" w14:paraId="00000014">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w:t>
            </w:r>
            <w:r w:rsidDel="00000000" w:rsidR="00000000" w:rsidRPr="00000000">
              <w:rPr>
                <w:rFonts w:ascii="Arial" w:cs="Arial" w:eastAsia="Arial" w:hAnsi="Arial"/>
                <w:sz w:val="24"/>
                <w:szCs w:val="24"/>
                <w:rtl w:val="0"/>
              </w:rPr>
              <w:t xml:space="preserve"> Suzzane Ball</w:t>
            </w:r>
            <w:r w:rsidDel="00000000" w:rsidR="00000000" w:rsidRPr="00000000">
              <w:rPr>
                <w:rtl w:val="0"/>
              </w:rPr>
            </w:r>
          </w:p>
          <w:p w:rsidR="00000000" w:rsidDel="00000000" w:rsidP="00000000" w:rsidRDefault="00000000" w:rsidRPr="00000000" w14:paraId="00000015">
            <w:pPr>
              <w:shd w:fill="ffffff" w:val="clear"/>
              <w:spacing w:line="331.2"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Administration: April Desmond &amp; Chris Head</w:t>
            </w:r>
          </w:p>
          <w:p w:rsidR="00000000" w:rsidDel="00000000" w:rsidP="00000000" w:rsidRDefault="00000000" w:rsidRPr="00000000" w14:paraId="00000016">
            <w:pPr>
              <w:shd w:fill="ffffff" w:val="clea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tc>
      </w:tr>
    </w:tbl>
    <w:p w:rsidR="00000000" w:rsidDel="00000000" w:rsidP="00000000" w:rsidRDefault="00000000" w:rsidRPr="00000000" w14:paraId="00000018">
      <w:pPr>
        <w:jc w:val="both"/>
        <w:rPr>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Please describe a summary of work undertaken by the SAC to improve student achievement and school performance.</w:t>
            </w:r>
          </w:p>
        </w:tc>
      </w:tr>
      <w:tr>
        <w:trPr>
          <w:cantSplit w:val="0"/>
          <w:tblHeader w:val="0"/>
        </w:trPr>
        <w:tc>
          <w:tcPr/>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The School Advisory Council (SAC) has actively contributed to enhancing student achievement and overall school performance through a variety of strategic initiatives. The SAC participated in the </w:t>
            </w:r>
            <w:r w:rsidDel="00000000" w:rsidR="00000000" w:rsidRPr="00000000">
              <w:rPr>
                <w:b w:val="1"/>
                <w:sz w:val="24"/>
                <w:szCs w:val="24"/>
                <w:rtl w:val="0"/>
              </w:rPr>
              <w:t xml:space="preserve">Safe School Strategy</w:t>
            </w:r>
            <w:r w:rsidDel="00000000" w:rsidR="00000000" w:rsidRPr="00000000">
              <w:rPr>
                <w:sz w:val="24"/>
                <w:szCs w:val="24"/>
                <w:rtl w:val="0"/>
              </w:rPr>
              <w:t xml:space="preserve">, supporting the creation of a secure and welcoming learning environment. Members also attended the </w:t>
            </w:r>
            <w:r w:rsidDel="00000000" w:rsidR="00000000" w:rsidRPr="00000000">
              <w:rPr>
                <w:b w:val="1"/>
                <w:sz w:val="24"/>
                <w:szCs w:val="24"/>
                <w:rtl w:val="0"/>
              </w:rPr>
              <w:t xml:space="preserve">Provincial SAC Conference</w:t>
            </w:r>
            <w:r w:rsidDel="00000000" w:rsidR="00000000" w:rsidRPr="00000000">
              <w:rPr>
                <w:sz w:val="24"/>
                <w:szCs w:val="24"/>
                <w:rtl w:val="0"/>
              </w:rPr>
              <w:t xml:space="preserve">, fostering collaboration and gaining insights into best practices for school improvement.</w:t>
            </w:r>
          </w:p>
          <w:p w:rsidR="00000000" w:rsidDel="00000000" w:rsidP="00000000" w:rsidRDefault="00000000" w:rsidRPr="00000000" w14:paraId="0000001B">
            <w:pPr>
              <w:spacing w:after="240" w:before="240" w:lineRule="auto"/>
              <w:jc w:val="both"/>
              <w:rPr>
                <w:sz w:val="24"/>
                <w:szCs w:val="24"/>
              </w:rPr>
            </w:pPr>
            <w:r w:rsidDel="00000000" w:rsidR="00000000" w:rsidRPr="00000000">
              <w:rPr>
                <w:sz w:val="24"/>
                <w:szCs w:val="24"/>
                <w:rtl w:val="0"/>
              </w:rPr>
              <w:t xml:space="preserve">A thorough </w:t>
            </w:r>
            <w:r w:rsidDel="00000000" w:rsidR="00000000" w:rsidRPr="00000000">
              <w:rPr>
                <w:b w:val="1"/>
                <w:sz w:val="24"/>
                <w:szCs w:val="24"/>
                <w:rtl w:val="0"/>
              </w:rPr>
              <w:t xml:space="preserve">data review</w:t>
            </w:r>
            <w:r w:rsidDel="00000000" w:rsidR="00000000" w:rsidRPr="00000000">
              <w:rPr>
                <w:sz w:val="24"/>
                <w:szCs w:val="24"/>
                <w:rtl w:val="0"/>
              </w:rPr>
              <w:t xml:space="preserve"> process was undertaken to identify key areas for growth and guide informed decision-making. The SAC successfully implemented the </w:t>
            </w:r>
            <w:r w:rsidDel="00000000" w:rsidR="00000000" w:rsidRPr="00000000">
              <w:rPr>
                <w:b w:val="1"/>
                <w:sz w:val="24"/>
                <w:szCs w:val="24"/>
                <w:rtl w:val="0"/>
              </w:rPr>
              <w:t xml:space="preserve">SAC Initiative Grant</w:t>
            </w:r>
            <w:r w:rsidDel="00000000" w:rsidR="00000000" w:rsidRPr="00000000">
              <w:rPr>
                <w:sz w:val="24"/>
                <w:szCs w:val="24"/>
                <w:rtl w:val="0"/>
              </w:rPr>
              <w:t xml:space="preserve">, directing funds toward targeted programs and resources that support academic success and student well-being. Additionally, the SAC has played a crucial role in </w:t>
            </w:r>
            <w:r w:rsidDel="00000000" w:rsidR="00000000" w:rsidRPr="00000000">
              <w:rPr>
                <w:b w:val="1"/>
                <w:sz w:val="24"/>
                <w:szCs w:val="24"/>
                <w:rtl w:val="0"/>
              </w:rPr>
              <w:t xml:space="preserve">providing resources for the school</w:t>
            </w:r>
            <w:r w:rsidDel="00000000" w:rsidR="00000000" w:rsidRPr="00000000">
              <w:rPr>
                <w:sz w:val="24"/>
                <w:szCs w:val="24"/>
                <w:rtl w:val="0"/>
              </w:rPr>
              <w:t xml:space="preserve">, addressing both academic and socio-emotional needs to create a more supportive and enriched learning environment for all students.</w:t>
            </w:r>
          </w:p>
        </w:tc>
      </w:tr>
    </w:tbl>
    <w:p w:rsidR="00000000" w:rsidDel="00000000" w:rsidP="00000000" w:rsidRDefault="00000000" w:rsidRPr="00000000" w14:paraId="0000001C">
      <w:pPr>
        <w:jc w:val="both"/>
        <w:rPr>
          <w:sz w:val="24"/>
          <w:szCs w:val="24"/>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Please list any significant milestones and success stories that the SAC would like to highlight.</w:t>
            </w:r>
          </w:p>
        </w:tc>
      </w:tr>
      <w:tr>
        <w:trPr>
          <w:cantSplit w:val="0"/>
          <w:tblHeader w:val="0"/>
        </w:trPr>
        <w:tc>
          <w:tcPr/>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The School Advisory Council (SAC) is proud to highlight several key milestones and success stories that have positively impacted student achievement, school culture, and community engagement:</w:t>
            </w:r>
          </w:p>
          <w:p w:rsidR="00000000" w:rsidDel="00000000" w:rsidP="00000000" w:rsidRDefault="00000000" w:rsidRPr="00000000" w14:paraId="00000020">
            <w:pPr>
              <w:numPr>
                <w:ilvl w:val="0"/>
                <w:numId w:val="1"/>
              </w:numPr>
              <w:ind w:left="720" w:hanging="360"/>
              <w:jc w:val="both"/>
              <w:rPr>
                <w:b w:val="1"/>
                <w:sz w:val="24"/>
                <w:szCs w:val="24"/>
              </w:rPr>
            </w:pPr>
            <w:r w:rsidDel="00000000" w:rsidR="00000000" w:rsidRPr="00000000">
              <w:rPr>
                <w:b w:val="1"/>
                <w:sz w:val="24"/>
                <w:szCs w:val="24"/>
                <w:rtl w:val="0"/>
              </w:rPr>
              <w:t xml:space="preserve">Attended the Provincial School Advisory Committee</w:t>
            </w:r>
          </w:p>
          <w:p w:rsidR="00000000" w:rsidDel="00000000" w:rsidP="00000000" w:rsidRDefault="00000000" w:rsidRPr="00000000" w14:paraId="00000021">
            <w:pPr>
              <w:numPr>
                <w:ilvl w:val="0"/>
                <w:numId w:val="1"/>
              </w:numPr>
              <w:ind w:left="720" w:hanging="360"/>
              <w:jc w:val="both"/>
              <w:rPr>
                <w:b w:val="1"/>
                <w:sz w:val="24"/>
                <w:szCs w:val="24"/>
                <w:u w:val="none"/>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b w:val="1"/>
                <w:sz w:val="24"/>
                <w:szCs w:val="24"/>
              </w:rPr>
            </w:pPr>
            <w:r w:rsidDel="00000000" w:rsidR="00000000" w:rsidRPr="00000000">
              <w:rPr>
                <w:b w:val="1"/>
                <w:sz w:val="24"/>
                <w:szCs w:val="24"/>
                <w:rtl w:val="0"/>
              </w:rPr>
              <w:t xml:space="preserve">Consultation on Provincial Code of Conduct</w:t>
            </w:r>
          </w:p>
          <w:p w:rsidR="00000000" w:rsidDel="00000000" w:rsidP="00000000" w:rsidRDefault="00000000" w:rsidRPr="00000000" w14:paraId="00000023">
            <w:pPr>
              <w:ind w:left="720" w:firstLine="0"/>
              <w:jc w:val="both"/>
              <w:rPr>
                <w:b w:val="1"/>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jc w:val="both"/>
              <w:rPr>
                <w:b w:val="1"/>
                <w:sz w:val="24"/>
                <w:szCs w:val="24"/>
              </w:rPr>
            </w:pPr>
            <w:r w:rsidDel="00000000" w:rsidR="00000000" w:rsidRPr="00000000">
              <w:rPr>
                <w:b w:val="1"/>
                <w:sz w:val="24"/>
                <w:szCs w:val="24"/>
                <w:rtl w:val="0"/>
              </w:rPr>
              <w:t xml:space="preserve">EECD Local Voice Survey</w:t>
            </w:r>
          </w:p>
          <w:p w:rsidR="00000000" w:rsidDel="00000000" w:rsidP="00000000" w:rsidRDefault="00000000" w:rsidRPr="00000000" w14:paraId="00000025">
            <w:pPr>
              <w:ind w:left="0" w:firstLine="0"/>
              <w:jc w:val="both"/>
              <w:rPr>
                <w:b w:val="1"/>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160" w:afterAutospacing="0" w:lineRule="auto"/>
              <w:ind w:left="720" w:hanging="360"/>
              <w:jc w:val="both"/>
              <w:rPr>
                <w:b w:val="1"/>
                <w:sz w:val="24"/>
                <w:szCs w:val="24"/>
              </w:rPr>
            </w:pPr>
            <w:r w:rsidDel="00000000" w:rsidR="00000000" w:rsidRPr="00000000">
              <w:rPr>
                <w:b w:val="1"/>
                <w:sz w:val="24"/>
                <w:szCs w:val="24"/>
                <w:rtl w:val="0"/>
              </w:rPr>
              <w:t xml:space="preserve">Participation in Thought Exchanges</w:t>
            </w:r>
            <w:r w:rsidDel="00000000" w:rsidR="00000000" w:rsidRPr="00000000">
              <w:rPr>
                <w:rtl w:val="0"/>
              </w:rPr>
            </w:r>
          </w:p>
          <w:p w:rsidR="00000000" w:rsidDel="00000000" w:rsidP="00000000" w:rsidRDefault="00000000" w:rsidRPr="00000000" w14:paraId="00000027">
            <w:pPr>
              <w:numPr>
                <w:ilvl w:val="0"/>
                <w:numId w:val="1"/>
              </w:numPr>
              <w:spacing w:after="0" w:afterAutospacing="0" w:before="160" w:beforeAutospacing="0" w:lineRule="auto"/>
              <w:ind w:left="720" w:hanging="360"/>
              <w:rPr>
                <w:sz w:val="24"/>
                <w:szCs w:val="24"/>
              </w:rPr>
            </w:pPr>
            <w:r w:rsidDel="00000000" w:rsidR="00000000" w:rsidRPr="00000000">
              <w:rPr>
                <w:b w:val="1"/>
                <w:sz w:val="24"/>
                <w:szCs w:val="24"/>
                <w:rtl w:val="0"/>
              </w:rPr>
              <w:t xml:space="preserve">Implementation of the SAC Innovative Grant Projects</w:t>
            </w:r>
            <w:r w:rsidDel="00000000" w:rsidR="00000000" w:rsidRPr="00000000">
              <w:rPr>
                <w:sz w:val="24"/>
                <w:szCs w:val="24"/>
                <w:rtl w:val="0"/>
              </w:rPr>
              <w:t xml:space="preserve">:</w:t>
              <w:br w:type="textWrapping"/>
              <w:t xml:space="preserve"> The SAC successfully launched several initiatives funded by the SAC Innovative Grant, including the </w:t>
            </w:r>
            <w:r w:rsidDel="00000000" w:rsidR="00000000" w:rsidRPr="00000000">
              <w:rPr>
                <w:b w:val="1"/>
                <w:sz w:val="24"/>
                <w:szCs w:val="24"/>
                <w:rtl w:val="0"/>
              </w:rPr>
              <w:t xml:space="preserve">Elders Chats</w:t>
            </w:r>
            <w:r w:rsidDel="00000000" w:rsidR="00000000" w:rsidRPr="00000000">
              <w:rPr>
                <w:sz w:val="24"/>
                <w:szCs w:val="24"/>
                <w:rtl w:val="0"/>
              </w:rPr>
              <w:t xml:space="preserve">, </w:t>
            </w:r>
            <w:r w:rsidDel="00000000" w:rsidR="00000000" w:rsidRPr="00000000">
              <w:rPr>
                <w:b w:val="1"/>
                <w:sz w:val="24"/>
                <w:szCs w:val="24"/>
                <w:rtl w:val="0"/>
              </w:rPr>
              <w:t xml:space="preserve">“ I love My Community Musical”</w:t>
            </w:r>
            <w:r w:rsidDel="00000000" w:rsidR="00000000" w:rsidRPr="00000000">
              <w:rPr>
                <w:sz w:val="24"/>
                <w:szCs w:val="24"/>
                <w:rtl w:val="0"/>
              </w:rPr>
              <w:t xml:space="preserve">,  </w:t>
            </w:r>
            <w:r w:rsidDel="00000000" w:rsidR="00000000" w:rsidRPr="00000000">
              <w:rPr>
                <w:b w:val="1"/>
                <w:sz w:val="24"/>
                <w:szCs w:val="24"/>
                <w:rtl w:val="0"/>
              </w:rPr>
              <w:t xml:space="preserve">“Who Am I?” Fair</w:t>
            </w:r>
            <w:r w:rsidDel="00000000" w:rsidR="00000000" w:rsidRPr="00000000">
              <w:rPr>
                <w:sz w:val="24"/>
                <w:szCs w:val="24"/>
                <w:rtl w:val="0"/>
              </w:rPr>
              <w:t xml:space="preserve"> and </w:t>
            </w:r>
            <w:r w:rsidDel="00000000" w:rsidR="00000000" w:rsidRPr="00000000">
              <w:rPr>
                <w:b w:val="1"/>
                <w:sz w:val="24"/>
                <w:szCs w:val="24"/>
                <w:rtl w:val="0"/>
              </w:rPr>
              <w:t xml:space="preserve">“Who Are We?” mural project</w:t>
            </w:r>
            <w:r w:rsidDel="00000000" w:rsidR="00000000" w:rsidRPr="00000000">
              <w:rPr>
                <w:sz w:val="24"/>
                <w:szCs w:val="24"/>
                <w:rtl w:val="0"/>
              </w:rPr>
              <w:t xml:space="preserve">. These culturally responsive activities encouraged students to explore their identities and celebrate diversity, fostering a deeper sense of belonging and inclusion throughout the school community.</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Creation of a Home and School Association</w:t>
            </w:r>
            <w:r w:rsidDel="00000000" w:rsidR="00000000" w:rsidRPr="00000000">
              <w:rPr>
                <w:sz w:val="24"/>
                <w:szCs w:val="24"/>
                <w:rtl w:val="0"/>
              </w:rPr>
              <w:t xml:space="preserve">:</w:t>
              <w:br w:type="textWrapping"/>
              <w:t xml:space="preserve"> A major milestone was the establishment of a Home and School Association, which significantly strengthened partnerships between families and the school. This initiative has enhanced communication, built trust, and laid the foundation for increased parent involvement.</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Community Engagement Events</w:t>
            </w:r>
            <w:r w:rsidDel="00000000" w:rsidR="00000000" w:rsidRPr="00000000">
              <w:rPr>
                <w:sz w:val="24"/>
                <w:szCs w:val="24"/>
                <w:rtl w:val="0"/>
              </w:rPr>
              <w:t xml:space="preserve">:</w:t>
              <w:br w:type="textWrapping"/>
              <w:t xml:space="preserve"> The SAC played a key role in organizing successful community events such as </w:t>
            </w:r>
            <w:r w:rsidDel="00000000" w:rsidR="00000000" w:rsidRPr="00000000">
              <w:rPr>
                <w:b w:val="1"/>
                <w:sz w:val="24"/>
                <w:szCs w:val="24"/>
                <w:rtl w:val="0"/>
              </w:rPr>
              <w:t xml:space="preserve">Family Night Bingo</w:t>
            </w:r>
            <w:r w:rsidDel="00000000" w:rsidR="00000000" w:rsidRPr="00000000">
              <w:rPr>
                <w:sz w:val="24"/>
                <w:szCs w:val="24"/>
                <w:rtl w:val="0"/>
              </w:rPr>
              <w:t xml:space="preserve"> and the </w:t>
            </w:r>
            <w:r w:rsidDel="00000000" w:rsidR="00000000" w:rsidRPr="00000000">
              <w:rPr>
                <w:b w:val="1"/>
                <w:sz w:val="24"/>
                <w:szCs w:val="24"/>
                <w:rtl w:val="0"/>
              </w:rPr>
              <w:t xml:space="preserve">School Fling</w:t>
            </w:r>
            <w:r w:rsidDel="00000000" w:rsidR="00000000" w:rsidRPr="00000000">
              <w:rPr>
                <w:sz w:val="24"/>
                <w:szCs w:val="24"/>
                <w:rtl w:val="0"/>
              </w:rPr>
              <w:t xml:space="preserve">. These gatherings brought families, staff, and community partners together in a fun and welcoming environment, helping to build a stronger school community.</w:t>
              <w:br w:type="textWrapping"/>
            </w:r>
          </w:p>
          <w:p w:rsidR="00000000" w:rsidDel="00000000" w:rsidP="00000000" w:rsidRDefault="00000000" w:rsidRPr="00000000" w14:paraId="0000002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 Love My Community” Musical</w:t>
            </w:r>
            <w:r w:rsidDel="00000000" w:rsidR="00000000" w:rsidRPr="00000000">
              <w:rPr>
                <w:sz w:val="24"/>
                <w:szCs w:val="24"/>
                <w:rtl w:val="0"/>
              </w:rPr>
              <w:t xml:space="preserve">:</w:t>
              <w:br w:type="textWrapping"/>
              <w:t xml:space="preserve"> One of the most celebrated success stories was the creation and performance of the </w:t>
            </w:r>
            <w:r w:rsidDel="00000000" w:rsidR="00000000" w:rsidRPr="00000000">
              <w:rPr>
                <w:b w:val="1"/>
                <w:sz w:val="24"/>
                <w:szCs w:val="24"/>
                <w:rtl w:val="0"/>
              </w:rPr>
              <w:t xml:space="preserve">“I Love My Community” Musical</w:t>
            </w:r>
            <w:r w:rsidDel="00000000" w:rsidR="00000000" w:rsidRPr="00000000">
              <w:rPr>
                <w:sz w:val="24"/>
                <w:szCs w:val="24"/>
                <w:rtl w:val="0"/>
              </w:rPr>
              <w:t xml:space="preserve">, a student-led production that highlighted local pride, culture, and collaboration. The event showcased student talent and built stronger connections between the school and the surrounding community.</w:t>
              <w:br w:type="textWrapping"/>
            </w:r>
          </w:p>
          <w:p w:rsidR="00000000" w:rsidDel="00000000" w:rsidP="00000000" w:rsidRDefault="00000000" w:rsidRPr="00000000" w14:paraId="0000002B">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Partnerships with Community Organizations</w:t>
            </w:r>
            <w:r w:rsidDel="00000000" w:rsidR="00000000" w:rsidRPr="00000000">
              <w:rPr>
                <w:sz w:val="24"/>
                <w:szCs w:val="24"/>
                <w:rtl w:val="0"/>
              </w:rPr>
              <w:t xml:space="preserve">:</w:t>
              <w:br w:type="textWrapping"/>
              <w:t xml:space="preserve"> The SAC has established and nurtured partnerships with various community groups to provide ongoing support and resources for students and families. These partnerships have contributed to academic support programs, mental health initiatives, and culturally relevant learning opportunities.</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tc>
      </w:tr>
    </w:tbl>
    <w:p w:rsidR="00000000" w:rsidDel="00000000" w:rsidP="00000000" w:rsidRDefault="00000000" w:rsidRPr="00000000" w14:paraId="0000002F">
      <w:pPr>
        <w:jc w:val="both"/>
        <w:rPr>
          <w:sz w:val="24"/>
          <w:szCs w:val="24"/>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Please describe any related sub-committee work undertaken by SAC members (e.g., School Options Committee).</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 Working on a partnership with the African Nova Scotian Service Division to act as the Community education committee to provide a summer cultural enrichment program.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24"/>
          <w:szCs w:val="24"/>
          <w:u w:val="single"/>
        </w:rPr>
      </w:pPr>
      <w:r w:rsidDel="00000000" w:rsidR="00000000" w:rsidRPr="00000000">
        <w:rPr>
          <w:b w:val="1"/>
          <w:sz w:val="24"/>
          <w:szCs w:val="24"/>
          <w:u w:val="single"/>
          <w:rtl w:val="0"/>
        </w:rPr>
        <w:t xml:space="preserve">Statements of Revenues and Expenditures:</w:t>
      </w:r>
    </w:p>
    <w:p w:rsidR="00000000" w:rsidDel="00000000" w:rsidP="00000000" w:rsidRDefault="00000000" w:rsidRPr="00000000" w14:paraId="00000038">
      <w:pPr>
        <w:rPr>
          <w:sz w:val="24"/>
          <w:szCs w:val="24"/>
          <w:u w:val="single"/>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Expenditures supporting the school improvement plan (e.g., providing resources to support math and literacy instruction).</w:t>
            </w:r>
          </w:p>
        </w:tc>
      </w:tr>
      <w:tr>
        <w:trPr>
          <w:cantSplit w:val="0"/>
          <w:tblHeader w:val="0"/>
        </w:trPr>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Balance Forward 2024/25 - $1,712.58</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2024/2025 Grant - Total Balance available for 2024/25 - $6797.58</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(HRCE Deposit $5085.00)</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Literacy Resources: (676.48+466.34+1490.60+348.05+746.76+323.40= </w:t>
            </w:r>
            <w:r w:rsidDel="00000000" w:rsidR="00000000" w:rsidRPr="00000000">
              <w:rPr>
                <w:sz w:val="24"/>
                <w:szCs w:val="24"/>
                <w:highlight w:val="yellow"/>
                <w:rtl w:val="0"/>
              </w:rPr>
              <w:t xml:space="preserve">Total $4051.63</w:t>
            </w:r>
            <w:r w:rsidDel="00000000" w:rsidR="00000000" w:rsidRPr="00000000">
              <w:rPr>
                <w:sz w:val="24"/>
                <w:szCs w:val="24"/>
                <w:rtl w:val="0"/>
              </w:rPr>
              <w:t xml:space="preserve">)</w:t>
            </w:r>
          </w:p>
          <w:p w:rsidR="00000000" w:rsidDel="00000000" w:rsidP="00000000" w:rsidRDefault="00000000" w:rsidRPr="00000000" w14:paraId="0000003F">
            <w:pPr>
              <w:jc w:val="both"/>
              <w:rPr>
                <w:sz w:val="24"/>
                <w:szCs w:val="24"/>
              </w:rPr>
            </w:pPr>
            <w:r w:rsidDel="00000000" w:rsidR="00000000" w:rsidRPr="00000000">
              <w:rPr>
                <w:rtl w:val="0"/>
              </w:rPr>
            </w:r>
          </w:p>
        </w:tc>
      </w:tr>
    </w:tbl>
    <w:p w:rsidR="00000000" w:rsidDel="00000000" w:rsidP="00000000" w:rsidRDefault="00000000" w:rsidRPr="00000000" w14:paraId="00000040">
      <w:pPr>
        <w:jc w:val="both"/>
        <w:rPr>
          <w:sz w:val="24"/>
          <w:szCs w:val="24"/>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Expenditures supporting policy development and implementation (e.g., supporting and promoting new policies).</w:t>
            </w:r>
          </w:p>
        </w:tc>
      </w:tr>
      <w:tr>
        <w:trPr>
          <w:cantSplit w:val="0"/>
          <w:tblHeader w:val="0"/>
        </w:trPr>
        <w:tc>
          <w:tcPr/>
          <w:p w:rsidR="00000000" w:rsidDel="00000000" w:rsidP="00000000" w:rsidRDefault="00000000" w:rsidRPr="00000000" w14:paraId="00000042">
            <w:pPr>
              <w:jc w:val="both"/>
              <w:rPr>
                <w:sz w:val="24"/>
                <w:szCs w:val="24"/>
                <w:highlight w:val="yellow"/>
              </w:rPr>
            </w:pPr>
            <w:r w:rsidDel="00000000" w:rsidR="00000000" w:rsidRPr="00000000">
              <w:rPr>
                <w:sz w:val="24"/>
                <w:szCs w:val="24"/>
                <w:rtl w:val="0"/>
              </w:rPr>
              <w:t xml:space="preserve">Staff Support for implemetation of Safe School Strategy: </w:t>
            </w:r>
            <w:r w:rsidDel="00000000" w:rsidR="00000000" w:rsidRPr="00000000">
              <w:rPr>
                <w:sz w:val="24"/>
                <w:szCs w:val="24"/>
                <w:highlight w:val="yellow"/>
                <w:rtl w:val="0"/>
              </w:rPr>
              <w:t xml:space="preserve">($156.76)</w:t>
            </w:r>
          </w:p>
          <w:p w:rsidR="00000000" w:rsidDel="00000000" w:rsidP="00000000" w:rsidRDefault="00000000" w:rsidRPr="00000000" w14:paraId="00000043">
            <w:pPr>
              <w:jc w:val="both"/>
              <w:rPr>
                <w:sz w:val="24"/>
                <w:szCs w:val="24"/>
              </w:rPr>
            </w:pPr>
            <w:r w:rsidDel="00000000" w:rsidR="00000000" w:rsidRPr="00000000">
              <w:rPr>
                <w:rtl w:val="0"/>
              </w:rPr>
            </w:r>
          </w:p>
        </w:tc>
      </w:tr>
    </w:tbl>
    <w:p w:rsidR="00000000" w:rsidDel="00000000" w:rsidP="00000000" w:rsidRDefault="00000000" w:rsidRPr="00000000" w14:paraId="00000044">
      <w:pPr>
        <w:jc w:val="both"/>
        <w:rPr>
          <w:sz w:val="24"/>
          <w:szCs w:val="24"/>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eebf6" w:val="clear"/>
          </w:tcPr>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Expenditures covering operational expenses; up to 20 per cent of provincial SAC funding may be used as operational expenses, if necessary, to encourage and support member participation).</w:t>
            </w:r>
          </w:p>
        </w:tc>
      </w:tr>
      <w:tr>
        <w:trPr>
          <w:cantSplit w:val="0"/>
          <w:trHeight w:val="810.9375" w:hRule="atLeast"/>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Classroom Supplies: (137.24+3.43+21.95+15.53+55.83+37.88= Total </w:t>
            </w:r>
            <w:r w:rsidDel="00000000" w:rsidR="00000000" w:rsidRPr="00000000">
              <w:rPr>
                <w:sz w:val="24"/>
                <w:szCs w:val="24"/>
                <w:highlight w:val="yellow"/>
                <w:rtl w:val="0"/>
              </w:rPr>
              <w:t xml:space="preserve">$271.86</w:t>
            </w:r>
            <w:r w:rsidDel="00000000" w:rsidR="00000000" w:rsidRPr="00000000">
              <w:rPr>
                <w:sz w:val="24"/>
                <w:szCs w:val="24"/>
                <w:rtl w:val="0"/>
              </w:rPr>
              <w:t xml:space="preserve">)</w:t>
            </w:r>
          </w:p>
          <w:p w:rsidR="00000000" w:rsidDel="00000000" w:rsidP="00000000" w:rsidRDefault="00000000" w:rsidRPr="00000000" w14:paraId="0000004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rPr>
                <w:b w:val="1"/>
                <w:sz w:val="24"/>
                <w:szCs w:val="24"/>
                <w:highlight w:val="yellow"/>
                <w:u w:val="single"/>
              </w:rPr>
            </w:pPr>
            <w:r w:rsidDel="00000000" w:rsidR="00000000" w:rsidRPr="00000000">
              <w:rPr>
                <w:b w:val="1"/>
                <w:sz w:val="24"/>
                <w:szCs w:val="24"/>
                <w:highlight w:val="yellow"/>
                <w:u w:val="single"/>
                <w:rtl w:val="0"/>
              </w:rPr>
              <w:t xml:space="preserve">Balance Remaining: $2317.33</w:t>
            </w:r>
          </w:p>
          <w:p w:rsidR="00000000" w:rsidDel="00000000" w:rsidP="00000000" w:rsidRDefault="00000000" w:rsidRPr="00000000" w14:paraId="00000049">
            <w:pPr>
              <w:rPr>
                <w:sz w:val="24"/>
                <w:szCs w:val="24"/>
                <w:highlight w:val="yellow"/>
              </w:rPr>
            </w:pPr>
            <w:r w:rsidDel="00000000" w:rsidR="00000000" w:rsidRPr="00000000">
              <w:rPr>
                <w:rtl w:val="0"/>
              </w:rPr>
            </w:r>
          </w:p>
        </w:tc>
      </w:tr>
    </w:tbl>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Please return to School Supervisor by Monday, June 16, 2025. Thank you.</w:t>
      </w:r>
    </w:p>
    <w:sectPr>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828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477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77EC"/>
  </w:style>
  <w:style w:type="paragraph" w:styleId="Footer">
    <w:name w:val="footer"/>
    <w:basedOn w:val="Normal"/>
    <w:link w:val="FooterChar"/>
    <w:uiPriority w:val="99"/>
    <w:unhideWhenUsed w:val="1"/>
    <w:rsid w:val="009477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77EC"/>
  </w:style>
  <w:style w:type="paragraph" w:styleId="BalloonText">
    <w:name w:val="Balloon Text"/>
    <w:basedOn w:val="Normal"/>
    <w:link w:val="BalloonTextChar"/>
    <w:uiPriority w:val="99"/>
    <w:semiHidden w:val="1"/>
    <w:unhideWhenUsed w:val="1"/>
    <w:rsid w:val="009477E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77E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yEUo5zLfFxc4FFG5jInQeL9FA==">CgMxLjA4AHIhMWI5eEpIdmF5a21jUHdweEFBV0VGbFVTWUNwV19pOFFU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2025-05-12T14:07:00Z</dcterms:created>
  <dc:creator>MacNeil, Andy</dc:creator>
</cp:coreProperties>
</file>